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81" w:rsidRDefault="00330B81" w:rsidP="00330B81">
      <w:pPr>
        <w:pStyle w:val="Default"/>
        <w:rPr>
          <w:sz w:val="18"/>
          <w:szCs w:val="18"/>
        </w:rPr>
      </w:pPr>
    </w:p>
    <w:p w:rsidR="009121B5" w:rsidRDefault="009121B5" w:rsidP="00D32E9C">
      <w:pPr>
        <w:pStyle w:val="Default"/>
        <w:jc w:val="right"/>
        <w:rPr>
          <w:sz w:val="18"/>
          <w:szCs w:val="18"/>
        </w:rPr>
      </w:pPr>
    </w:p>
    <w:p w:rsidR="0013574D" w:rsidRDefault="00330B81" w:rsidP="009213D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GUIDE TO </w:t>
      </w:r>
      <w:r w:rsidR="0013574D">
        <w:rPr>
          <w:b/>
          <w:bCs/>
          <w:sz w:val="28"/>
          <w:szCs w:val="28"/>
        </w:rPr>
        <w:t xml:space="preserve">THE </w:t>
      </w:r>
      <w:r w:rsidR="00DE27FA">
        <w:rPr>
          <w:b/>
          <w:bCs/>
          <w:sz w:val="28"/>
          <w:szCs w:val="28"/>
        </w:rPr>
        <w:t>COMMENTARY ON PROFESSIONAL DEVELOPMENT ACTIVITIES</w:t>
      </w:r>
    </w:p>
    <w:p w:rsidR="0013574D" w:rsidRDefault="0013574D" w:rsidP="009213D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jc w:val="right"/>
        <w:rPr>
          <w:sz w:val="18"/>
          <w:szCs w:val="18"/>
        </w:rPr>
      </w:pPr>
    </w:p>
    <w:p w:rsidR="0013574D" w:rsidRDefault="0013574D" w:rsidP="00921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3600" w:hanging="3600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DOMAIN:</w:t>
      </w:r>
      <w:r>
        <w:rPr>
          <w:rFonts w:ascii="Arial" w:hAnsi="Arial" w:cs="Arial"/>
          <w:b/>
        </w:rPr>
        <w:tab/>
      </w:r>
      <w:r w:rsidRPr="00EF670E">
        <w:rPr>
          <w:rFonts w:ascii="Arial" w:hAnsi="Arial" w:cs="Arial"/>
          <w:b/>
          <w:i/>
        </w:rPr>
        <w:t xml:space="preserve">Evidence that Demonstrates Professional </w:t>
      </w:r>
      <w:r w:rsidR="00DE27FA">
        <w:rPr>
          <w:rFonts w:ascii="Arial" w:hAnsi="Arial" w:cs="Arial"/>
          <w:b/>
          <w:i/>
        </w:rPr>
        <w:t>Engagement</w:t>
      </w:r>
    </w:p>
    <w:p w:rsidR="00F23FBA" w:rsidRPr="00106695" w:rsidRDefault="00F23FBA" w:rsidP="00F23F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 w:cs="Arial"/>
          <w:b/>
        </w:rPr>
      </w:pPr>
    </w:p>
    <w:p w:rsidR="00F23FBA" w:rsidRDefault="0013574D" w:rsidP="004A4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3600" w:hanging="3600"/>
        <w:rPr>
          <w:rFonts w:ascii="Arial" w:hAnsi="Arial" w:cs="Arial"/>
          <w:b/>
        </w:rPr>
      </w:pPr>
      <w:r w:rsidRPr="00106695">
        <w:rPr>
          <w:rFonts w:ascii="Arial" w:hAnsi="Arial" w:cs="Arial"/>
          <w:b/>
        </w:rPr>
        <w:t xml:space="preserve">EVIDENCE COMPONENT </w:t>
      </w:r>
      <w:r w:rsidR="00F23FBA">
        <w:rPr>
          <w:rFonts w:ascii="Arial" w:hAnsi="Arial" w:cs="Arial"/>
          <w:b/>
        </w:rPr>
        <w:t>3A</w:t>
      </w:r>
      <w:r w:rsidRPr="00106695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ab/>
      </w:r>
      <w:r w:rsidR="00F23FBA">
        <w:rPr>
          <w:rFonts w:ascii="Arial" w:hAnsi="Arial" w:cs="Arial"/>
          <w:b/>
        </w:rPr>
        <w:t>Professional Development Activities Log</w:t>
      </w:r>
    </w:p>
    <w:p w:rsidR="00F23FBA" w:rsidRDefault="00F23FBA" w:rsidP="004A4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3600" w:hanging="3600"/>
        <w:rPr>
          <w:rFonts w:ascii="Arial" w:hAnsi="Arial" w:cs="Arial"/>
          <w:b/>
        </w:rPr>
      </w:pPr>
    </w:p>
    <w:p w:rsidR="0013574D" w:rsidRDefault="00F23FBA" w:rsidP="004A4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3600" w:hanging="36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                                   3B:    </w:t>
      </w:r>
      <w:r w:rsidR="004A4C48">
        <w:rPr>
          <w:rFonts w:ascii="Arial" w:hAnsi="Arial" w:cs="Arial"/>
          <w:b/>
          <w:i/>
        </w:rPr>
        <w:t xml:space="preserve">Commentary on Professional </w:t>
      </w:r>
      <w:r>
        <w:rPr>
          <w:rFonts w:ascii="Arial" w:hAnsi="Arial" w:cs="Arial"/>
          <w:b/>
          <w:i/>
        </w:rPr>
        <w:t>Learning Arising from Professional Activities</w:t>
      </w:r>
      <w:r w:rsidR="004A4C48">
        <w:rPr>
          <w:rFonts w:ascii="Arial" w:hAnsi="Arial" w:cs="Arial"/>
          <w:b/>
          <w:i/>
        </w:rPr>
        <w:t xml:space="preserve"> </w:t>
      </w:r>
    </w:p>
    <w:p w:rsidR="00DE27FA" w:rsidRDefault="00DE27FA" w:rsidP="004A4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3600" w:hanging="3600"/>
        <w:rPr>
          <w:rFonts w:ascii="Arial" w:hAnsi="Arial" w:cs="Arial"/>
          <w:b/>
          <w:i/>
        </w:rPr>
      </w:pPr>
    </w:p>
    <w:p w:rsidR="00DE27FA" w:rsidRDefault="00DE27FA" w:rsidP="004A4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3600" w:hanging="36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Includes:</w:t>
      </w:r>
    </w:p>
    <w:p w:rsidR="00F23FBA" w:rsidRDefault="00DE27FA" w:rsidP="004A4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3600" w:hanging="36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- </w:t>
      </w:r>
      <w:r w:rsidR="00F23FBA">
        <w:rPr>
          <w:rFonts w:ascii="Arial" w:hAnsi="Arial" w:cs="Arial"/>
          <w:b/>
          <w:i/>
        </w:rPr>
        <w:t xml:space="preserve">keeping a </w:t>
      </w:r>
      <w:r>
        <w:rPr>
          <w:rFonts w:ascii="Arial" w:hAnsi="Arial" w:cs="Arial"/>
          <w:b/>
          <w:i/>
        </w:rPr>
        <w:t xml:space="preserve">Professional </w:t>
      </w:r>
      <w:r w:rsidR="00F23FBA">
        <w:rPr>
          <w:rFonts w:ascii="Arial" w:hAnsi="Arial" w:cs="Arial"/>
          <w:b/>
          <w:i/>
        </w:rPr>
        <w:t>Development Activities</w:t>
      </w:r>
      <w:r>
        <w:rPr>
          <w:rFonts w:ascii="Arial" w:hAnsi="Arial" w:cs="Arial"/>
          <w:b/>
          <w:i/>
        </w:rPr>
        <w:t xml:space="preserve"> Log</w:t>
      </w:r>
      <w:r w:rsidR="00F23FBA">
        <w:rPr>
          <w:rFonts w:ascii="Arial" w:hAnsi="Arial" w:cs="Arial"/>
          <w:b/>
          <w:i/>
        </w:rPr>
        <w:t xml:space="preserve"> of all in school and out of</w:t>
      </w:r>
    </w:p>
    <w:p w:rsidR="00DE27FA" w:rsidRDefault="00F23FBA" w:rsidP="004A4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3600" w:hanging="3600"/>
        <w:rPr>
          <w:rFonts w:ascii="Arial" w:hAnsi="Arial" w:cs="Arial"/>
          <w:b/>
          <w:i/>
        </w:rPr>
      </w:pPr>
      <w:proofErr w:type="gramStart"/>
      <w:r>
        <w:rPr>
          <w:rFonts w:ascii="Arial" w:hAnsi="Arial" w:cs="Arial"/>
          <w:b/>
          <w:i/>
        </w:rPr>
        <w:t>school</w:t>
      </w:r>
      <w:proofErr w:type="gramEnd"/>
      <w:r>
        <w:rPr>
          <w:rFonts w:ascii="Arial" w:hAnsi="Arial" w:cs="Arial"/>
          <w:b/>
          <w:i/>
        </w:rPr>
        <w:t xml:space="preserve"> PD attended during the period of Provisional Registration</w:t>
      </w:r>
    </w:p>
    <w:p w:rsidR="00F23FBA" w:rsidRDefault="00F23FBA" w:rsidP="004A4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3600" w:hanging="3600"/>
        <w:rPr>
          <w:rFonts w:ascii="Arial" w:hAnsi="Arial" w:cs="Arial"/>
          <w:b/>
          <w:i/>
        </w:rPr>
      </w:pPr>
    </w:p>
    <w:p w:rsidR="0013574D" w:rsidRPr="00DE27FA" w:rsidRDefault="00DE27FA" w:rsidP="00DE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- A commentary of three professional development activities that identify </w:t>
      </w:r>
      <w:proofErr w:type="gramStart"/>
      <w:r>
        <w:rPr>
          <w:rFonts w:ascii="Arial" w:hAnsi="Arial" w:cs="Arial"/>
          <w:b/>
          <w:i/>
        </w:rPr>
        <w:t>how  learning</w:t>
      </w:r>
      <w:proofErr w:type="gramEnd"/>
      <w:r>
        <w:rPr>
          <w:rFonts w:ascii="Arial" w:hAnsi="Arial" w:cs="Arial"/>
          <w:b/>
          <w:i/>
        </w:rPr>
        <w:t xml:space="preserve"> goals against t</w:t>
      </w:r>
      <w:r w:rsidR="00F23FBA">
        <w:rPr>
          <w:rFonts w:ascii="Arial" w:hAnsi="Arial" w:cs="Arial"/>
          <w:b/>
          <w:i/>
        </w:rPr>
        <w:t>he Standards have been addressed</w:t>
      </w:r>
      <w:r>
        <w:rPr>
          <w:rFonts w:ascii="Arial" w:hAnsi="Arial" w:cs="Arial"/>
          <w:b/>
          <w:i/>
        </w:rPr>
        <w:t xml:space="preserve"> and how these activities have been incorporated into classroom teaching</w:t>
      </w:r>
      <w:r w:rsidR="00F23FBA">
        <w:rPr>
          <w:rFonts w:ascii="Arial" w:hAnsi="Arial" w:cs="Arial"/>
          <w:b/>
          <w:i/>
        </w:rPr>
        <w:t>.  The comments should include the value of these activities in challenging, improving and changing professional knowledge, engagement and practice.</w:t>
      </w:r>
    </w:p>
    <w:p w:rsidR="0013574D" w:rsidRPr="0013574D" w:rsidRDefault="0013574D" w:rsidP="00921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jc w:val="center"/>
        <w:rPr>
          <w:rFonts w:ascii="Arial" w:hAnsi="Arial" w:cs="Arial"/>
          <w:b/>
          <w:i/>
        </w:rPr>
      </w:pPr>
    </w:p>
    <w:p w:rsidR="0013574D" w:rsidRDefault="0013574D" w:rsidP="00330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jc w:val="center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>The analysis</w:t>
      </w:r>
      <w:r w:rsidRPr="00DF1740">
        <w:rPr>
          <w:rFonts w:ascii="Arial" w:hAnsi="Arial" w:cs="Arial"/>
          <w:i/>
          <w:color w:val="FF0000"/>
          <w:sz w:val="20"/>
          <w:szCs w:val="20"/>
        </w:rPr>
        <w:t xml:space="preserve"> is intended to address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the </w:t>
      </w:r>
      <w:r w:rsidR="00330B81">
        <w:rPr>
          <w:rFonts w:ascii="Arial" w:hAnsi="Arial" w:cs="Arial"/>
          <w:i/>
          <w:color w:val="FF0000"/>
          <w:sz w:val="20"/>
          <w:szCs w:val="20"/>
        </w:rPr>
        <w:t>Australian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Professional </w:t>
      </w:r>
      <w:r w:rsidRPr="00DF1740">
        <w:rPr>
          <w:rFonts w:ascii="Arial" w:hAnsi="Arial" w:cs="Arial"/>
          <w:i/>
          <w:color w:val="FF0000"/>
          <w:sz w:val="20"/>
          <w:szCs w:val="20"/>
        </w:rPr>
        <w:t>Standards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for Teachers - </w:t>
      </w:r>
      <w:r w:rsidR="00DE27FA">
        <w:rPr>
          <w:rFonts w:ascii="Arial" w:hAnsi="Arial" w:cs="Arial"/>
          <w:i/>
          <w:color w:val="FF0000"/>
          <w:sz w:val="20"/>
          <w:szCs w:val="20"/>
        </w:rPr>
        <w:t>6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&amp; 7</w:t>
      </w:r>
    </w:p>
    <w:p w:rsidR="00D32E9C" w:rsidRPr="00DE27FA" w:rsidRDefault="00D32E9C" w:rsidP="00D32E9C">
      <w:pPr>
        <w:pStyle w:val="Default"/>
        <w:rPr>
          <w:sz w:val="22"/>
          <w:szCs w:val="22"/>
        </w:rPr>
      </w:pPr>
    </w:p>
    <w:p w:rsidR="00DE27FA" w:rsidRDefault="00DE27FA" w:rsidP="00DE27FA">
      <w:pPr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>The engagement of teachers in their work with students and colleagues, and often in the wider community, marks them as professionals and sends a clear message that teachers value highly their ongoing professional renewal.</w:t>
      </w:r>
    </w:p>
    <w:p w:rsidR="00DE27FA" w:rsidRPr="00DE27FA" w:rsidRDefault="00DE27FA" w:rsidP="00DE27FA">
      <w:pPr>
        <w:rPr>
          <w:rFonts w:ascii="Arial" w:hAnsi="Arial" w:cs="Arial"/>
          <w:sz w:val="22"/>
          <w:szCs w:val="22"/>
        </w:rPr>
      </w:pPr>
    </w:p>
    <w:p w:rsidR="00DE27FA" w:rsidRDefault="00DE27FA" w:rsidP="00DE27FA">
      <w:pPr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>Provisionally registered teachers are required to maintain a list of activities they undertake outside their normal teaching duties or which involve collaboration with colleagues to show engagement with the profession.</w:t>
      </w:r>
      <w:r w:rsidR="00F23FBA">
        <w:rPr>
          <w:rFonts w:ascii="Arial" w:hAnsi="Arial" w:cs="Arial"/>
          <w:sz w:val="22"/>
          <w:szCs w:val="22"/>
        </w:rPr>
        <w:t xml:space="preserve"> These activities may be within the school setting or out of school.  </w:t>
      </w:r>
      <w:r w:rsidRPr="00DE27FA">
        <w:rPr>
          <w:rFonts w:ascii="Arial" w:hAnsi="Arial" w:cs="Arial"/>
          <w:sz w:val="22"/>
          <w:szCs w:val="22"/>
        </w:rPr>
        <w:t xml:space="preserve">This satisfies the requirement to provide evidence of the </w:t>
      </w:r>
      <w:r w:rsidRPr="00DE27FA">
        <w:rPr>
          <w:rFonts w:ascii="Arial" w:hAnsi="Arial" w:cs="Arial"/>
          <w:i/>
          <w:sz w:val="22"/>
          <w:szCs w:val="22"/>
        </w:rPr>
        <w:t>Australian</w:t>
      </w:r>
      <w:r>
        <w:rPr>
          <w:rFonts w:ascii="Arial" w:hAnsi="Arial" w:cs="Arial"/>
          <w:sz w:val="22"/>
          <w:szCs w:val="22"/>
        </w:rPr>
        <w:t xml:space="preserve"> </w:t>
      </w:r>
      <w:r w:rsidRPr="00DE27FA">
        <w:rPr>
          <w:rFonts w:ascii="Arial" w:hAnsi="Arial" w:cs="Arial"/>
          <w:i/>
          <w:sz w:val="22"/>
          <w:szCs w:val="22"/>
        </w:rPr>
        <w:t xml:space="preserve">Professional Standards for Teachers </w:t>
      </w:r>
      <w:r w:rsidRPr="00DE27FA">
        <w:rPr>
          <w:rFonts w:ascii="Arial" w:hAnsi="Arial" w:cs="Arial"/>
          <w:sz w:val="22"/>
          <w:szCs w:val="22"/>
        </w:rPr>
        <w:t>(the Standards) that refer to professional engagement:</w:t>
      </w:r>
    </w:p>
    <w:p w:rsidR="00DE27FA" w:rsidRPr="00DE27FA" w:rsidRDefault="00DE27FA" w:rsidP="00DE27FA">
      <w:pPr>
        <w:rPr>
          <w:rFonts w:ascii="Arial" w:hAnsi="Arial" w:cs="Arial"/>
          <w:sz w:val="22"/>
          <w:szCs w:val="22"/>
        </w:rPr>
      </w:pPr>
    </w:p>
    <w:p w:rsidR="00DE27FA" w:rsidRPr="00DE27FA" w:rsidRDefault="00DE27FA" w:rsidP="00DE27FA">
      <w:pPr>
        <w:pStyle w:val="ListParagraph"/>
        <w:numPr>
          <w:ilvl w:val="0"/>
          <w:numId w:val="34"/>
        </w:num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Engage in professional learning</w:t>
      </w:r>
    </w:p>
    <w:p w:rsidR="00DE27FA" w:rsidRPr="00DE27FA" w:rsidRDefault="00DE27FA" w:rsidP="00DE27FA">
      <w:pPr>
        <w:pStyle w:val="ListParagraph"/>
        <w:numPr>
          <w:ilvl w:val="0"/>
          <w:numId w:val="34"/>
        </w:num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Engage professionally with colleagues, parents/carers and the community</w:t>
      </w:r>
      <w:r w:rsidRPr="00DE27FA">
        <w:rPr>
          <w:rFonts w:ascii="Arial" w:hAnsi="Arial" w:cs="Arial"/>
          <w:sz w:val="22"/>
          <w:szCs w:val="22"/>
        </w:rPr>
        <w:t>.</w:t>
      </w:r>
    </w:p>
    <w:p w:rsidR="00DE27FA" w:rsidRDefault="00DE27FA" w:rsidP="00DE27FA">
      <w:pPr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>In reflecting on professional development, it is important for provisionally registered teachers to demonstrate how knowledge and skills gained from activities have been incorporated into classroom teaching.</w:t>
      </w:r>
    </w:p>
    <w:p w:rsidR="00BA431B" w:rsidRPr="00DE27FA" w:rsidRDefault="00BA431B" w:rsidP="00DE27FA">
      <w:pPr>
        <w:rPr>
          <w:rFonts w:ascii="Arial" w:hAnsi="Arial" w:cs="Arial"/>
          <w:sz w:val="22"/>
          <w:szCs w:val="22"/>
        </w:rPr>
      </w:pPr>
    </w:p>
    <w:p w:rsidR="00DE27FA" w:rsidRDefault="00DE27FA" w:rsidP="00DE27FA">
      <w:pPr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 xml:space="preserve">Valid professional development activities are those that initiate a change </w:t>
      </w:r>
      <w:r w:rsidR="00F23FBA">
        <w:rPr>
          <w:rFonts w:ascii="Arial" w:hAnsi="Arial" w:cs="Arial"/>
          <w:sz w:val="22"/>
          <w:szCs w:val="22"/>
        </w:rPr>
        <w:t xml:space="preserve">or encourage development </w:t>
      </w:r>
      <w:r w:rsidR="00C2347B">
        <w:rPr>
          <w:rFonts w:ascii="Arial" w:hAnsi="Arial" w:cs="Arial"/>
          <w:sz w:val="22"/>
          <w:szCs w:val="22"/>
        </w:rPr>
        <w:t xml:space="preserve">and/or enhancement </w:t>
      </w:r>
      <w:r w:rsidRPr="00DE27FA">
        <w:rPr>
          <w:rFonts w:ascii="Arial" w:hAnsi="Arial" w:cs="Arial"/>
          <w:sz w:val="22"/>
          <w:szCs w:val="22"/>
        </w:rPr>
        <w:t>in teacher practice in the domains of Professional Knowledge, Professional Engagement and Professional Practice.</w:t>
      </w:r>
    </w:p>
    <w:p w:rsidR="00BA431B" w:rsidRPr="00DE27FA" w:rsidRDefault="00BA431B" w:rsidP="00DE27FA">
      <w:pPr>
        <w:rPr>
          <w:rFonts w:ascii="Arial" w:hAnsi="Arial" w:cs="Arial"/>
          <w:sz w:val="22"/>
          <w:szCs w:val="22"/>
        </w:rPr>
      </w:pPr>
    </w:p>
    <w:p w:rsidR="00DE27FA" w:rsidRDefault="00DE27FA" w:rsidP="00DE27FA">
      <w:pPr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>Professional Development activities could include:</w:t>
      </w:r>
    </w:p>
    <w:p w:rsidR="00C2347B" w:rsidRPr="00DE27FA" w:rsidRDefault="00C2347B" w:rsidP="00DE27FA">
      <w:pPr>
        <w:rPr>
          <w:rFonts w:ascii="Arial" w:hAnsi="Arial" w:cs="Arial"/>
          <w:sz w:val="22"/>
          <w:szCs w:val="22"/>
        </w:rPr>
      </w:pPr>
    </w:p>
    <w:p w:rsidR="00DE27FA" w:rsidRPr="00BA431B" w:rsidRDefault="00DE27FA" w:rsidP="00BA431B">
      <w:pPr>
        <w:pStyle w:val="ListParagraph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BA431B">
        <w:rPr>
          <w:rFonts w:ascii="Arial" w:hAnsi="Arial" w:cs="Arial"/>
          <w:sz w:val="22"/>
          <w:szCs w:val="22"/>
        </w:rPr>
        <w:t>Programs, courses and conferences attended off-site/online</w:t>
      </w:r>
    </w:p>
    <w:p w:rsidR="00DE27FA" w:rsidRPr="00BA431B" w:rsidRDefault="00DE27FA" w:rsidP="00BA431B">
      <w:pPr>
        <w:pStyle w:val="ListParagraph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BA431B">
        <w:rPr>
          <w:rFonts w:ascii="Arial" w:hAnsi="Arial" w:cs="Arial"/>
          <w:sz w:val="22"/>
          <w:szCs w:val="22"/>
        </w:rPr>
        <w:t>Programs, courses and conferences in the school setting</w:t>
      </w:r>
    </w:p>
    <w:p w:rsidR="00DE27FA" w:rsidRPr="00BA431B" w:rsidRDefault="00DE27FA" w:rsidP="00BA431B">
      <w:pPr>
        <w:pStyle w:val="ListParagraph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BA431B">
        <w:rPr>
          <w:rFonts w:ascii="Arial" w:hAnsi="Arial" w:cs="Arial"/>
          <w:sz w:val="22"/>
          <w:szCs w:val="22"/>
        </w:rPr>
        <w:t>Professional Teaching Association events</w:t>
      </w:r>
    </w:p>
    <w:p w:rsidR="00DE27FA" w:rsidRPr="00BA431B" w:rsidRDefault="00DE27FA" w:rsidP="00BA431B">
      <w:pPr>
        <w:pStyle w:val="ListParagraph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BA431B">
        <w:rPr>
          <w:rFonts w:ascii="Arial" w:hAnsi="Arial" w:cs="Arial"/>
          <w:sz w:val="22"/>
          <w:szCs w:val="22"/>
        </w:rPr>
        <w:t>Tertiary study related to a specific teaching field</w:t>
      </w:r>
    </w:p>
    <w:p w:rsidR="00DE27FA" w:rsidRPr="00BA431B" w:rsidRDefault="00DE27FA" w:rsidP="00BA431B">
      <w:pPr>
        <w:pStyle w:val="ListParagraph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BA431B">
        <w:rPr>
          <w:rFonts w:ascii="Arial" w:hAnsi="Arial" w:cs="Arial"/>
          <w:sz w:val="22"/>
          <w:szCs w:val="22"/>
        </w:rPr>
        <w:t>Structured networking with teachers from other schools</w:t>
      </w:r>
    </w:p>
    <w:p w:rsidR="00DE27FA" w:rsidRPr="00DE27FA" w:rsidRDefault="00DE27FA" w:rsidP="00BA431B">
      <w:pPr>
        <w:pStyle w:val="ListParagraph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>School visits and exchanges</w:t>
      </w:r>
    </w:p>
    <w:p w:rsidR="00DE27FA" w:rsidRPr="00DE27FA" w:rsidRDefault="00DE27FA" w:rsidP="00BA431B">
      <w:pPr>
        <w:pStyle w:val="ListParagraph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>Faculty or staff meetings involving discussion of approaches to teaching and learning</w:t>
      </w:r>
    </w:p>
    <w:p w:rsidR="00DE27FA" w:rsidRPr="00DE27FA" w:rsidRDefault="00DE27FA" w:rsidP="00BA431B">
      <w:pPr>
        <w:pStyle w:val="ListParagraph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>Professional reading</w:t>
      </w:r>
    </w:p>
    <w:p w:rsidR="00DE27FA" w:rsidRPr="00DE27FA" w:rsidRDefault="00DE27FA" w:rsidP="00BA431B">
      <w:pPr>
        <w:pStyle w:val="ListParagraph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>Mentoring another teacher</w:t>
      </w:r>
    </w:p>
    <w:p w:rsidR="00DE27FA" w:rsidRPr="00DE27FA" w:rsidRDefault="00DE27FA" w:rsidP="00BA431B">
      <w:pPr>
        <w:pStyle w:val="ListParagraph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>Being mentored by another teacher</w:t>
      </w:r>
    </w:p>
    <w:p w:rsidR="00DE27FA" w:rsidRPr="00DE27FA" w:rsidRDefault="00DE27FA" w:rsidP="00DE27FA">
      <w:pPr>
        <w:rPr>
          <w:rFonts w:ascii="Arial" w:hAnsi="Arial" w:cs="Arial"/>
          <w:sz w:val="22"/>
          <w:szCs w:val="22"/>
        </w:rPr>
      </w:pPr>
    </w:p>
    <w:p w:rsidR="00DE27FA" w:rsidRPr="00DE27FA" w:rsidRDefault="00DE27FA" w:rsidP="00DE27FA">
      <w:pPr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>These activities should not be viewed as exclusive of other activities.</w:t>
      </w:r>
    </w:p>
    <w:p w:rsidR="00DE27FA" w:rsidRPr="00DE27FA" w:rsidRDefault="00DE27FA" w:rsidP="00DE27FA">
      <w:pPr>
        <w:pStyle w:val="NoSpacing"/>
        <w:rPr>
          <w:rFonts w:ascii="Arial" w:hAnsi="Arial" w:cs="Arial"/>
          <w:b/>
        </w:rPr>
      </w:pPr>
    </w:p>
    <w:p w:rsidR="00BA431B" w:rsidRPr="00BA431B" w:rsidRDefault="00BA431B" w:rsidP="00BA431B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BA431B">
        <w:rPr>
          <w:rFonts w:ascii="Arial" w:hAnsi="Arial" w:cs="Arial"/>
          <w:b/>
          <w:sz w:val="28"/>
          <w:szCs w:val="28"/>
        </w:rPr>
        <w:t>Evidence Component Requirements:</w:t>
      </w:r>
    </w:p>
    <w:p w:rsidR="00BA431B" w:rsidRPr="00BA431B" w:rsidRDefault="00BA431B" w:rsidP="00DE27FA">
      <w:pPr>
        <w:pStyle w:val="NoSpacing"/>
        <w:rPr>
          <w:rFonts w:ascii="Arial" w:hAnsi="Arial" w:cs="Arial"/>
          <w:b/>
          <w:sz w:val="24"/>
          <w:szCs w:val="24"/>
        </w:rPr>
      </w:pPr>
    </w:p>
    <w:p w:rsidR="00DE27FA" w:rsidRPr="00DE27FA" w:rsidRDefault="00C2347B" w:rsidP="00BA431B">
      <w:pPr>
        <w:pStyle w:val="NoSpacing"/>
        <w:numPr>
          <w:ilvl w:val="0"/>
          <w:numId w:val="3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3A - </w:t>
      </w:r>
      <w:r w:rsidR="00DE27FA" w:rsidRPr="00DE27FA">
        <w:rPr>
          <w:rFonts w:ascii="Arial" w:hAnsi="Arial" w:cs="Arial"/>
          <w:b/>
        </w:rPr>
        <w:t>LIST OF PROFESSIONAL DEVELOPMENT ACTIVITIES</w:t>
      </w:r>
      <w:r w:rsidR="00BA431B">
        <w:rPr>
          <w:rFonts w:ascii="Arial" w:hAnsi="Arial" w:cs="Arial"/>
          <w:b/>
        </w:rPr>
        <w:t xml:space="preserve"> (See template)</w:t>
      </w:r>
    </w:p>
    <w:p w:rsidR="00DE27FA" w:rsidRPr="00DE27FA" w:rsidRDefault="00DE27FA" w:rsidP="00DE27FA">
      <w:pPr>
        <w:shd w:val="clear" w:color="auto" w:fill="FFFFFF"/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 xml:space="preserve">Provisionally registered teachers are required to maintain a list of activities they undertake during </w:t>
      </w:r>
      <w:r w:rsidR="00BA431B">
        <w:rPr>
          <w:rFonts w:ascii="Arial" w:hAnsi="Arial" w:cs="Arial"/>
          <w:sz w:val="22"/>
          <w:szCs w:val="22"/>
        </w:rPr>
        <w:t>the period of Provisional Registration</w:t>
      </w:r>
      <w:r w:rsidRPr="00DE27FA">
        <w:rPr>
          <w:rFonts w:ascii="Arial" w:hAnsi="Arial" w:cs="Arial"/>
          <w:sz w:val="22"/>
          <w:szCs w:val="22"/>
        </w:rPr>
        <w:t xml:space="preserve"> which involve individual learning, collaboration with colleagues and engagement with the school community.  This list should reference the </w:t>
      </w:r>
      <w:r w:rsidR="00BA431B" w:rsidRPr="00BA431B">
        <w:rPr>
          <w:rFonts w:ascii="Arial" w:hAnsi="Arial" w:cs="Arial"/>
          <w:i/>
          <w:sz w:val="22"/>
          <w:szCs w:val="22"/>
        </w:rPr>
        <w:t>Australian</w:t>
      </w:r>
      <w:r w:rsidR="00BA431B">
        <w:rPr>
          <w:rFonts w:ascii="Arial" w:hAnsi="Arial" w:cs="Arial"/>
          <w:sz w:val="22"/>
          <w:szCs w:val="22"/>
        </w:rPr>
        <w:t xml:space="preserve"> </w:t>
      </w:r>
      <w:r w:rsidRPr="00DE27FA">
        <w:rPr>
          <w:rFonts w:ascii="Arial" w:hAnsi="Arial" w:cs="Arial"/>
          <w:i/>
          <w:sz w:val="22"/>
          <w:szCs w:val="22"/>
        </w:rPr>
        <w:t xml:space="preserve">Professional Standards for </w:t>
      </w:r>
      <w:r w:rsidR="00BA431B">
        <w:rPr>
          <w:rFonts w:ascii="Arial" w:hAnsi="Arial" w:cs="Arial"/>
          <w:i/>
          <w:sz w:val="22"/>
          <w:szCs w:val="22"/>
        </w:rPr>
        <w:t>Teachers.</w:t>
      </w:r>
    </w:p>
    <w:p w:rsidR="00DE27FA" w:rsidRPr="00DE27FA" w:rsidRDefault="00DE27FA" w:rsidP="00DE27FA">
      <w:pPr>
        <w:pStyle w:val="NoSpacing"/>
        <w:rPr>
          <w:rFonts w:ascii="Arial" w:hAnsi="Arial" w:cs="Arial"/>
          <w:b/>
        </w:rPr>
      </w:pPr>
    </w:p>
    <w:p w:rsidR="00DE27FA" w:rsidRPr="00DE27FA" w:rsidRDefault="00C2347B" w:rsidP="00BA431B">
      <w:pPr>
        <w:pStyle w:val="NoSpacing"/>
        <w:numPr>
          <w:ilvl w:val="0"/>
          <w:numId w:val="3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3B - </w:t>
      </w:r>
      <w:r w:rsidR="00DE27FA" w:rsidRPr="00DE27FA">
        <w:rPr>
          <w:rFonts w:ascii="Arial" w:hAnsi="Arial" w:cs="Arial"/>
          <w:b/>
        </w:rPr>
        <w:t>COMMENTARY ON THE PROFESSIONAL LEARNING ARISING FROM PROFESSIONAL ACTIVITIES</w:t>
      </w:r>
      <w:r w:rsidR="00BA431B">
        <w:rPr>
          <w:rFonts w:ascii="Arial" w:hAnsi="Arial" w:cs="Arial"/>
          <w:b/>
        </w:rPr>
        <w:t xml:space="preserve"> (See template)</w:t>
      </w:r>
    </w:p>
    <w:p w:rsidR="00DE27FA" w:rsidRDefault="00DE27FA" w:rsidP="00DE27FA">
      <w:pPr>
        <w:shd w:val="clear" w:color="auto" w:fill="FFFFFF"/>
        <w:rPr>
          <w:rFonts w:ascii="Arial" w:hAnsi="Arial" w:cs="Arial"/>
          <w:sz w:val="22"/>
          <w:szCs w:val="22"/>
        </w:rPr>
      </w:pPr>
      <w:r w:rsidRPr="00DE27FA">
        <w:rPr>
          <w:rFonts w:ascii="Arial" w:hAnsi="Arial" w:cs="Arial"/>
          <w:sz w:val="22"/>
          <w:szCs w:val="22"/>
        </w:rPr>
        <w:t>Provisionally registered teachers select three activities from their list and comment on the value of these activities in challenging, improving and changing professiona</w:t>
      </w:r>
      <w:r w:rsidR="00BA431B">
        <w:rPr>
          <w:rFonts w:ascii="Arial" w:hAnsi="Arial" w:cs="Arial"/>
          <w:sz w:val="22"/>
          <w:szCs w:val="22"/>
        </w:rPr>
        <w:t xml:space="preserve">l knowledge, engagement </w:t>
      </w:r>
      <w:r w:rsidRPr="00DE27FA">
        <w:rPr>
          <w:rFonts w:ascii="Arial" w:hAnsi="Arial" w:cs="Arial"/>
          <w:sz w:val="22"/>
          <w:szCs w:val="22"/>
        </w:rPr>
        <w:t>and practice.  The Standards from the domains of Professional Knowledge</w:t>
      </w:r>
      <w:r w:rsidR="00BA431B">
        <w:rPr>
          <w:rFonts w:ascii="Arial" w:hAnsi="Arial" w:cs="Arial"/>
          <w:sz w:val="22"/>
          <w:szCs w:val="22"/>
        </w:rPr>
        <w:t>, Professional Engag</w:t>
      </w:r>
      <w:r w:rsidR="00012E11">
        <w:rPr>
          <w:rFonts w:ascii="Arial" w:hAnsi="Arial" w:cs="Arial"/>
          <w:sz w:val="22"/>
          <w:szCs w:val="22"/>
        </w:rPr>
        <w:t>e</w:t>
      </w:r>
      <w:r w:rsidR="00BA431B">
        <w:rPr>
          <w:rFonts w:ascii="Arial" w:hAnsi="Arial" w:cs="Arial"/>
          <w:sz w:val="22"/>
          <w:szCs w:val="22"/>
        </w:rPr>
        <w:t>ment</w:t>
      </w:r>
      <w:r w:rsidRPr="00DE27FA">
        <w:rPr>
          <w:rFonts w:ascii="Arial" w:hAnsi="Arial" w:cs="Arial"/>
          <w:sz w:val="22"/>
          <w:szCs w:val="22"/>
        </w:rPr>
        <w:t xml:space="preserve"> and Professional Practice should be used to guide thinking about the benefits of these activities for continuing development as a teacher.</w:t>
      </w:r>
    </w:p>
    <w:p w:rsidR="00BA431B" w:rsidRPr="00DE27FA" w:rsidRDefault="00BA431B" w:rsidP="00DE27FA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DE27FA" w:rsidRPr="00DE27FA" w:rsidRDefault="00BA431B" w:rsidP="00DE27FA">
      <w:pPr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 </w:t>
      </w:r>
      <w:r w:rsidR="00DE27FA" w:rsidRPr="00DE27FA">
        <w:rPr>
          <w:rFonts w:ascii="Arial" w:hAnsi="Arial" w:cs="Arial"/>
          <w:sz w:val="22"/>
          <w:szCs w:val="22"/>
        </w:rPr>
        <w:t>This list and commentary must be included as part of the completed evidence to be presented for evaluation to your panel.</w:t>
      </w:r>
    </w:p>
    <w:p w:rsidR="005E4B22" w:rsidRDefault="005E4B22" w:rsidP="005E4B22">
      <w:pPr>
        <w:pStyle w:val="Default"/>
        <w:rPr>
          <w:sz w:val="23"/>
          <w:szCs w:val="23"/>
        </w:rPr>
      </w:pPr>
    </w:p>
    <w:p w:rsidR="005E4B22" w:rsidRDefault="005E4B22" w:rsidP="005E4B22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*************************************</w:t>
      </w:r>
    </w:p>
    <w:p w:rsidR="005E4B22" w:rsidRDefault="005E4B22" w:rsidP="005E4B22">
      <w:pPr>
        <w:pStyle w:val="Default"/>
        <w:jc w:val="center"/>
        <w:rPr>
          <w:sz w:val="23"/>
          <w:szCs w:val="23"/>
        </w:rPr>
      </w:pPr>
    </w:p>
    <w:p w:rsidR="0004302F" w:rsidRDefault="004B0D8D" w:rsidP="00A44A35">
      <w:pPr>
        <w:ind w:left="-709" w:right="-709"/>
        <w:rPr>
          <w:rFonts w:ascii="Arial" w:hAnsi="Arial" w:cs="Arial"/>
          <w:sz w:val="22"/>
          <w:szCs w:val="22"/>
        </w:rPr>
      </w:pPr>
      <w:r w:rsidRPr="004B0D8D">
        <w:rPr>
          <w:rFonts w:ascii="Arial" w:hAnsi="Arial" w:cs="Arial"/>
          <w:sz w:val="22"/>
          <w:szCs w:val="22"/>
        </w:rPr>
        <w:t xml:space="preserve"> </w:t>
      </w:r>
      <w:r w:rsidR="00CB4707">
        <w:rPr>
          <w:rFonts w:ascii="Arial" w:hAnsi="Arial" w:cs="Arial"/>
          <w:sz w:val="22"/>
          <w:szCs w:val="22"/>
        </w:rPr>
        <w:t xml:space="preserve"> </w:t>
      </w:r>
    </w:p>
    <w:p w:rsidR="00707714" w:rsidRDefault="00707714" w:rsidP="00A44A35">
      <w:pPr>
        <w:ind w:left="-709" w:right="-709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07714" w:rsidRDefault="00707714" w:rsidP="00A44A35">
      <w:pPr>
        <w:ind w:left="-709" w:right="-709"/>
        <w:rPr>
          <w:rFonts w:ascii="Arial" w:hAnsi="Arial" w:cs="Arial"/>
          <w:sz w:val="22"/>
          <w:szCs w:val="22"/>
        </w:rPr>
      </w:pPr>
    </w:p>
    <w:p w:rsidR="00707714" w:rsidRDefault="00707714" w:rsidP="00A44A35">
      <w:pPr>
        <w:ind w:left="-709" w:right="-709"/>
        <w:rPr>
          <w:rFonts w:ascii="Arial" w:hAnsi="Arial" w:cs="Arial"/>
          <w:sz w:val="22"/>
          <w:szCs w:val="22"/>
        </w:rPr>
      </w:pPr>
    </w:p>
    <w:p w:rsidR="00707714" w:rsidRDefault="00707714" w:rsidP="00707714">
      <w:pPr>
        <w:ind w:right="-709"/>
        <w:rPr>
          <w:rFonts w:ascii="Arial" w:hAnsi="Arial" w:cs="Arial"/>
          <w:sz w:val="22"/>
          <w:szCs w:val="22"/>
        </w:rPr>
      </w:pPr>
    </w:p>
    <w:p w:rsidR="00707714" w:rsidRDefault="00707714" w:rsidP="00A44A35">
      <w:pPr>
        <w:ind w:left="-709" w:right="-709"/>
        <w:rPr>
          <w:rFonts w:ascii="Arial" w:hAnsi="Arial" w:cs="Arial"/>
          <w:sz w:val="22"/>
          <w:szCs w:val="22"/>
        </w:rPr>
      </w:pPr>
    </w:p>
    <w:p w:rsidR="00707714" w:rsidRPr="00707714" w:rsidRDefault="00707714" w:rsidP="00C2347B">
      <w:pPr>
        <w:ind w:right="-709"/>
        <w:rPr>
          <w:rFonts w:ascii="Arial" w:hAnsi="Arial" w:cs="Arial"/>
          <w:sz w:val="52"/>
          <w:szCs w:val="52"/>
        </w:rPr>
      </w:pPr>
    </w:p>
    <w:sectPr w:rsidR="00707714" w:rsidRPr="00707714" w:rsidSect="00DE27FA">
      <w:headerReference w:type="default" r:id="rId9"/>
      <w:footerReference w:type="even" r:id="rId10"/>
      <w:footerReference w:type="default" r:id="rId11"/>
      <w:type w:val="continuous"/>
      <w:pgSz w:w="11906" w:h="16838"/>
      <w:pgMar w:top="2552" w:right="1418" w:bottom="851" w:left="1276" w:header="709" w:footer="1673" w:gutter="0"/>
      <w:pgNumType w:fmt="numberInDash"/>
      <w:cols w:space="184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2B6" w:rsidRDefault="006A62B6">
      <w:r>
        <w:separator/>
      </w:r>
    </w:p>
  </w:endnote>
  <w:endnote w:type="continuationSeparator" w:id="0">
    <w:p w:rsidR="006A62B6" w:rsidRDefault="006A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B4C" w:rsidRDefault="00D52BC1" w:rsidP="006C30A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44B4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4B4C" w:rsidRDefault="00144B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B81" w:rsidRPr="00330B81" w:rsidRDefault="00330B81" w:rsidP="00330B81">
    <w:pPr>
      <w:pStyle w:val="Footer"/>
      <w:jc w:val="right"/>
      <w:rPr>
        <w:rFonts w:ascii="Arial" w:hAnsi="Arial" w:cs="Arial"/>
        <w:sz w:val="20"/>
        <w:szCs w:val="20"/>
      </w:rPr>
    </w:pPr>
    <w:r w:rsidRPr="00330B81">
      <w:rPr>
        <w:rFonts w:ascii="Arial" w:hAnsi="Arial" w:cs="Arial"/>
        <w:sz w:val="20"/>
        <w:szCs w:val="20"/>
      </w:rPr>
      <w:t xml:space="preserve">Current </w:t>
    </w:r>
    <w:r w:rsidR="00E859C7">
      <w:rPr>
        <w:rFonts w:ascii="Arial" w:hAnsi="Arial" w:cs="Arial"/>
        <w:sz w:val="20"/>
        <w:szCs w:val="20"/>
      </w:rPr>
      <w:t>as of</w:t>
    </w:r>
    <w:r w:rsidRPr="00330B81">
      <w:rPr>
        <w:rFonts w:ascii="Arial" w:hAnsi="Arial" w:cs="Arial"/>
        <w:sz w:val="20"/>
        <w:szCs w:val="20"/>
      </w:rPr>
      <w:t xml:space="preserve"> January 2013</w:t>
    </w:r>
  </w:p>
  <w:p w:rsidR="00144B4C" w:rsidRDefault="00144B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2B6" w:rsidRDefault="006A62B6">
      <w:r>
        <w:separator/>
      </w:r>
    </w:p>
  </w:footnote>
  <w:footnote w:type="continuationSeparator" w:id="0">
    <w:p w:rsidR="006A62B6" w:rsidRDefault="006A6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9D5" w:rsidRDefault="003861FC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5EE9D38E" wp14:editId="4B65D6F6">
          <wp:simplePos x="0" y="0"/>
          <wp:positionH relativeFrom="page">
            <wp:posOffset>288290</wp:posOffset>
          </wp:positionH>
          <wp:positionV relativeFrom="page">
            <wp:posOffset>288290</wp:posOffset>
          </wp:positionV>
          <wp:extent cx="6986016" cy="1085088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B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A89B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3140B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61E9F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EC63E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5E4870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0B43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9AE3B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7F21F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7E1C7C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7327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FA48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C35D37"/>
    <w:multiLevelType w:val="hybridMultilevel"/>
    <w:tmpl w:val="80861C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431A3D"/>
    <w:multiLevelType w:val="hybridMultilevel"/>
    <w:tmpl w:val="754451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8A3271"/>
    <w:multiLevelType w:val="hybridMultilevel"/>
    <w:tmpl w:val="918AF14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E11E30"/>
    <w:multiLevelType w:val="hybridMultilevel"/>
    <w:tmpl w:val="962CA89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4359AB"/>
    <w:multiLevelType w:val="hybridMultilevel"/>
    <w:tmpl w:val="51883124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370D1"/>
    <w:multiLevelType w:val="hybridMultilevel"/>
    <w:tmpl w:val="B874DD9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537A9F"/>
    <w:multiLevelType w:val="hybridMultilevel"/>
    <w:tmpl w:val="FE04AA2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C57BBF"/>
    <w:multiLevelType w:val="hybridMultilevel"/>
    <w:tmpl w:val="4464035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D60E16"/>
    <w:multiLevelType w:val="hybridMultilevel"/>
    <w:tmpl w:val="1310BFF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0A3512"/>
    <w:multiLevelType w:val="hybridMultilevel"/>
    <w:tmpl w:val="70F251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7212FE"/>
    <w:multiLevelType w:val="hybridMultilevel"/>
    <w:tmpl w:val="9F4CB4A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9A3EF8"/>
    <w:multiLevelType w:val="hybridMultilevel"/>
    <w:tmpl w:val="F93ADB9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E323C9"/>
    <w:multiLevelType w:val="hybridMultilevel"/>
    <w:tmpl w:val="370628D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6B60F4"/>
    <w:multiLevelType w:val="hybridMultilevel"/>
    <w:tmpl w:val="04209B2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1A7D52"/>
    <w:multiLevelType w:val="hybridMultilevel"/>
    <w:tmpl w:val="E71477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4B0327"/>
    <w:multiLevelType w:val="hybridMultilevel"/>
    <w:tmpl w:val="44909AE6"/>
    <w:lvl w:ilvl="0" w:tplc="C05C08F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0E56CC"/>
    <w:multiLevelType w:val="hybridMultilevel"/>
    <w:tmpl w:val="343EA20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0D530C"/>
    <w:multiLevelType w:val="hybridMultilevel"/>
    <w:tmpl w:val="640A406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3B3681"/>
    <w:multiLevelType w:val="hybridMultilevel"/>
    <w:tmpl w:val="7DFCAE0C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706AD1"/>
    <w:multiLevelType w:val="hybridMultilevel"/>
    <w:tmpl w:val="8090B1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A2636E"/>
    <w:multiLevelType w:val="hybridMultilevel"/>
    <w:tmpl w:val="791A5F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264115"/>
    <w:multiLevelType w:val="hybridMultilevel"/>
    <w:tmpl w:val="089458E8"/>
    <w:lvl w:ilvl="0" w:tplc="E58A99E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7F14F2"/>
    <w:multiLevelType w:val="hybridMultilevel"/>
    <w:tmpl w:val="7F00B4B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34226B"/>
    <w:multiLevelType w:val="hybridMultilevel"/>
    <w:tmpl w:val="4D7AB4C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C32977"/>
    <w:multiLevelType w:val="hybridMultilevel"/>
    <w:tmpl w:val="EAA095F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475110"/>
    <w:multiLevelType w:val="hybridMultilevel"/>
    <w:tmpl w:val="39DE7AE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E76390"/>
    <w:multiLevelType w:val="hybridMultilevel"/>
    <w:tmpl w:val="CD107E3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2"/>
  </w:num>
  <w:num w:numId="3">
    <w:abstractNumId w:val="21"/>
  </w:num>
  <w:num w:numId="4">
    <w:abstractNumId w:val="19"/>
  </w:num>
  <w:num w:numId="5">
    <w:abstractNumId w:val="18"/>
  </w:num>
  <w:num w:numId="6">
    <w:abstractNumId w:val="23"/>
  </w:num>
  <w:num w:numId="7">
    <w:abstractNumId w:val="34"/>
  </w:num>
  <w:num w:numId="8">
    <w:abstractNumId w:val="24"/>
  </w:num>
  <w:num w:numId="9">
    <w:abstractNumId w:val="26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9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5"/>
  </w:num>
  <w:num w:numId="22">
    <w:abstractNumId w:val="31"/>
  </w:num>
  <w:num w:numId="23">
    <w:abstractNumId w:val="11"/>
  </w:num>
  <w:num w:numId="24">
    <w:abstractNumId w:val="28"/>
  </w:num>
  <w:num w:numId="25">
    <w:abstractNumId w:val="29"/>
  </w:num>
  <w:num w:numId="26">
    <w:abstractNumId w:val="14"/>
  </w:num>
  <w:num w:numId="27">
    <w:abstractNumId w:val="33"/>
  </w:num>
  <w:num w:numId="28">
    <w:abstractNumId w:val="16"/>
  </w:num>
  <w:num w:numId="29">
    <w:abstractNumId w:val="27"/>
  </w:num>
  <w:num w:numId="30">
    <w:abstractNumId w:val="15"/>
  </w:num>
  <w:num w:numId="31">
    <w:abstractNumId w:val="17"/>
  </w:num>
  <w:num w:numId="32">
    <w:abstractNumId w:val="36"/>
  </w:num>
  <w:num w:numId="33">
    <w:abstractNumId w:val="20"/>
  </w:num>
  <w:num w:numId="34">
    <w:abstractNumId w:val="12"/>
  </w:num>
  <w:num w:numId="35">
    <w:abstractNumId w:val="32"/>
  </w:num>
  <w:num w:numId="36">
    <w:abstractNumId w:val="13"/>
  </w:num>
  <w:num w:numId="37">
    <w:abstractNumId w:val="35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A7"/>
    <w:rsid w:val="0000786B"/>
    <w:rsid w:val="00012E11"/>
    <w:rsid w:val="00017FF7"/>
    <w:rsid w:val="0002284D"/>
    <w:rsid w:val="00031482"/>
    <w:rsid w:val="0004302F"/>
    <w:rsid w:val="00067FC9"/>
    <w:rsid w:val="000700BB"/>
    <w:rsid w:val="000E2BF6"/>
    <w:rsid w:val="000F6A32"/>
    <w:rsid w:val="000F74A0"/>
    <w:rsid w:val="001036C3"/>
    <w:rsid w:val="0013574D"/>
    <w:rsid w:val="00144B4C"/>
    <w:rsid w:val="00150BED"/>
    <w:rsid w:val="00154325"/>
    <w:rsid w:val="00176E86"/>
    <w:rsid w:val="001B29D5"/>
    <w:rsid w:val="001E5041"/>
    <w:rsid w:val="0020772E"/>
    <w:rsid w:val="00214A24"/>
    <w:rsid w:val="00230DF0"/>
    <w:rsid w:val="0026221C"/>
    <w:rsid w:val="002B13F9"/>
    <w:rsid w:val="002E7DCD"/>
    <w:rsid w:val="003046FF"/>
    <w:rsid w:val="00330A7B"/>
    <w:rsid w:val="00330B81"/>
    <w:rsid w:val="00333733"/>
    <w:rsid w:val="00355ECE"/>
    <w:rsid w:val="003861FC"/>
    <w:rsid w:val="003905DA"/>
    <w:rsid w:val="00476DC6"/>
    <w:rsid w:val="004A4C48"/>
    <w:rsid w:val="004B0D8D"/>
    <w:rsid w:val="004F03AD"/>
    <w:rsid w:val="00556D0E"/>
    <w:rsid w:val="005A0D0E"/>
    <w:rsid w:val="005A6807"/>
    <w:rsid w:val="005E4B22"/>
    <w:rsid w:val="006144D9"/>
    <w:rsid w:val="00614575"/>
    <w:rsid w:val="00635BD5"/>
    <w:rsid w:val="00680D93"/>
    <w:rsid w:val="006A62B6"/>
    <w:rsid w:val="006C30AD"/>
    <w:rsid w:val="006D3FF1"/>
    <w:rsid w:val="006E34D9"/>
    <w:rsid w:val="006E7247"/>
    <w:rsid w:val="006F0741"/>
    <w:rsid w:val="00707714"/>
    <w:rsid w:val="007210C4"/>
    <w:rsid w:val="007506F8"/>
    <w:rsid w:val="007707A8"/>
    <w:rsid w:val="007873E4"/>
    <w:rsid w:val="007B5E10"/>
    <w:rsid w:val="007E724F"/>
    <w:rsid w:val="007F68DF"/>
    <w:rsid w:val="0081003D"/>
    <w:rsid w:val="008167A0"/>
    <w:rsid w:val="0083340D"/>
    <w:rsid w:val="00891A48"/>
    <w:rsid w:val="008A24B0"/>
    <w:rsid w:val="008A2AB5"/>
    <w:rsid w:val="009025C3"/>
    <w:rsid w:val="009121B5"/>
    <w:rsid w:val="009213DD"/>
    <w:rsid w:val="00927E9F"/>
    <w:rsid w:val="00980173"/>
    <w:rsid w:val="0099336C"/>
    <w:rsid w:val="009A61B3"/>
    <w:rsid w:val="009B1296"/>
    <w:rsid w:val="009D04F7"/>
    <w:rsid w:val="009E2C6A"/>
    <w:rsid w:val="009E3E6C"/>
    <w:rsid w:val="00A23CE0"/>
    <w:rsid w:val="00A24367"/>
    <w:rsid w:val="00A44A35"/>
    <w:rsid w:val="00A52B01"/>
    <w:rsid w:val="00A538C2"/>
    <w:rsid w:val="00A9440E"/>
    <w:rsid w:val="00B10B76"/>
    <w:rsid w:val="00B12169"/>
    <w:rsid w:val="00B12E74"/>
    <w:rsid w:val="00B52022"/>
    <w:rsid w:val="00B82345"/>
    <w:rsid w:val="00B96570"/>
    <w:rsid w:val="00BA431B"/>
    <w:rsid w:val="00BB41D1"/>
    <w:rsid w:val="00C02EA7"/>
    <w:rsid w:val="00C20B84"/>
    <w:rsid w:val="00C2347B"/>
    <w:rsid w:val="00C35B34"/>
    <w:rsid w:val="00C53F9D"/>
    <w:rsid w:val="00C57258"/>
    <w:rsid w:val="00C75282"/>
    <w:rsid w:val="00C83D93"/>
    <w:rsid w:val="00C875AC"/>
    <w:rsid w:val="00C87B40"/>
    <w:rsid w:val="00C9235A"/>
    <w:rsid w:val="00C945B9"/>
    <w:rsid w:val="00CA3839"/>
    <w:rsid w:val="00CB4707"/>
    <w:rsid w:val="00CB72C3"/>
    <w:rsid w:val="00CC26B5"/>
    <w:rsid w:val="00CD4347"/>
    <w:rsid w:val="00CF3F14"/>
    <w:rsid w:val="00D265EB"/>
    <w:rsid w:val="00D32E9C"/>
    <w:rsid w:val="00D33C5E"/>
    <w:rsid w:val="00D52BC1"/>
    <w:rsid w:val="00D93F6B"/>
    <w:rsid w:val="00D97B2C"/>
    <w:rsid w:val="00DC3E26"/>
    <w:rsid w:val="00DD0319"/>
    <w:rsid w:val="00DE27FA"/>
    <w:rsid w:val="00E123C7"/>
    <w:rsid w:val="00E334F6"/>
    <w:rsid w:val="00E36BB2"/>
    <w:rsid w:val="00E50BB8"/>
    <w:rsid w:val="00E537B2"/>
    <w:rsid w:val="00E60312"/>
    <w:rsid w:val="00E859C7"/>
    <w:rsid w:val="00EC2B61"/>
    <w:rsid w:val="00EE207F"/>
    <w:rsid w:val="00EF7645"/>
    <w:rsid w:val="00F014B0"/>
    <w:rsid w:val="00F23FBA"/>
    <w:rsid w:val="00F829EC"/>
    <w:rsid w:val="00F92E82"/>
    <w:rsid w:val="00FB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 Spacing" w:uiPriority="1" w:qFormat="1"/>
    <w:lsdException w:name="List Paragraph" w:uiPriority="34" w:qFormat="1"/>
  </w:latentStyles>
  <w:style w:type="paragraph" w:default="1" w:styleId="Normal">
    <w:name w:val="Normal"/>
    <w:qFormat/>
    <w:rsid w:val="00C02EA7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02EA7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F014B0"/>
    <w:pPr>
      <w:tabs>
        <w:tab w:val="center" w:pos="4153"/>
        <w:tab w:val="right" w:pos="8306"/>
      </w:tabs>
    </w:pPr>
  </w:style>
  <w:style w:type="paragraph" w:customStyle="1" w:styleId="AgencyName">
    <w:name w:val="AgencyName"/>
    <w:basedOn w:val="Normal"/>
    <w:rsid w:val="00E36BB2"/>
    <w:pPr>
      <w:spacing w:after="120"/>
    </w:pPr>
    <w:rPr>
      <w:rFonts w:ascii="Arial" w:hAnsi="Arial" w:cs="Arial"/>
      <w:spacing w:val="8"/>
      <w:sz w:val="26"/>
      <w:szCs w:val="26"/>
      <w:lang w:eastAsia="en-AU"/>
    </w:rPr>
  </w:style>
  <w:style w:type="paragraph" w:customStyle="1" w:styleId="WebAddress">
    <w:name w:val="WebAddress"/>
    <w:basedOn w:val="AgencyName"/>
    <w:rsid w:val="00E36BB2"/>
    <w:pPr>
      <w:jc w:val="right"/>
    </w:pPr>
    <w:rPr>
      <w:sz w:val="28"/>
      <w:szCs w:val="28"/>
    </w:rPr>
  </w:style>
  <w:style w:type="character" w:customStyle="1" w:styleId="AgencyNameChar">
    <w:name w:val="AgencyName Char"/>
    <w:basedOn w:val="DefaultParagraphFont"/>
    <w:rsid w:val="00E36BB2"/>
    <w:rPr>
      <w:rFonts w:ascii="Arial" w:hAnsi="Arial" w:cs="Arial"/>
      <w:spacing w:val="8"/>
      <w:sz w:val="26"/>
      <w:szCs w:val="26"/>
      <w:lang w:val="en-AU" w:eastAsia="en-AU"/>
    </w:rPr>
  </w:style>
  <w:style w:type="character" w:styleId="PageNumber">
    <w:name w:val="page number"/>
    <w:basedOn w:val="DefaultParagraphFont"/>
    <w:rsid w:val="00F92E82"/>
  </w:style>
  <w:style w:type="paragraph" w:styleId="BalloonText">
    <w:name w:val="Balloon Text"/>
    <w:basedOn w:val="Normal"/>
    <w:link w:val="BalloonTextChar"/>
    <w:rsid w:val="00CF3F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F1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2E7DCD"/>
    <w:rPr>
      <w:color w:val="0000FF" w:themeColor="hyperlink"/>
      <w:u w:val="single"/>
    </w:rPr>
  </w:style>
  <w:style w:type="paragraph" w:customStyle="1" w:styleId="Default">
    <w:name w:val="Default"/>
    <w:rsid w:val="00D32E9C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13574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30B81"/>
    <w:rPr>
      <w:lang w:eastAsia="en-US"/>
    </w:rPr>
  </w:style>
  <w:style w:type="paragraph" w:styleId="NoSpacing">
    <w:name w:val="No Spacing"/>
    <w:uiPriority w:val="1"/>
    <w:qFormat/>
    <w:rsid w:val="00DE27F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 Spacing" w:uiPriority="1" w:qFormat="1"/>
    <w:lsdException w:name="List Paragraph" w:uiPriority="34" w:qFormat="1"/>
  </w:latentStyles>
  <w:style w:type="paragraph" w:default="1" w:styleId="Normal">
    <w:name w:val="Normal"/>
    <w:qFormat/>
    <w:rsid w:val="00C02EA7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02EA7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F014B0"/>
    <w:pPr>
      <w:tabs>
        <w:tab w:val="center" w:pos="4153"/>
        <w:tab w:val="right" w:pos="8306"/>
      </w:tabs>
    </w:pPr>
  </w:style>
  <w:style w:type="paragraph" w:customStyle="1" w:styleId="AgencyName">
    <w:name w:val="AgencyName"/>
    <w:basedOn w:val="Normal"/>
    <w:rsid w:val="00E36BB2"/>
    <w:pPr>
      <w:spacing w:after="120"/>
    </w:pPr>
    <w:rPr>
      <w:rFonts w:ascii="Arial" w:hAnsi="Arial" w:cs="Arial"/>
      <w:spacing w:val="8"/>
      <w:sz w:val="26"/>
      <w:szCs w:val="26"/>
      <w:lang w:eastAsia="en-AU"/>
    </w:rPr>
  </w:style>
  <w:style w:type="paragraph" w:customStyle="1" w:styleId="WebAddress">
    <w:name w:val="WebAddress"/>
    <w:basedOn w:val="AgencyName"/>
    <w:rsid w:val="00E36BB2"/>
    <w:pPr>
      <w:jc w:val="right"/>
    </w:pPr>
    <w:rPr>
      <w:sz w:val="28"/>
      <w:szCs w:val="28"/>
    </w:rPr>
  </w:style>
  <w:style w:type="character" w:customStyle="1" w:styleId="AgencyNameChar">
    <w:name w:val="AgencyName Char"/>
    <w:basedOn w:val="DefaultParagraphFont"/>
    <w:rsid w:val="00E36BB2"/>
    <w:rPr>
      <w:rFonts w:ascii="Arial" w:hAnsi="Arial" w:cs="Arial"/>
      <w:spacing w:val="8"/>
      <w:sz w:val="26"/>
      <w:szCs w:val="26"/>
      <w:lang w:val="en-AU" w:eastAsia="en-AU"/>
    </w:rPr>
  </w:style>
  <w:style w:type="character" w:styleId="PageNumber">
    <w:name w:val="page number"/>
    <w:basedOn w:val="DefaultParagraphFont"/>
    <w:rsid w:val="00F92E82"/>
  </w:style>
  <w:style w:type="paragraph" w:styleId="BalloonText">
    <w:name w:val="Balloon Text"/>
    <w:basedOn w:val="Normal"/>
    <w:link w:val="BalloonTextChar"/>
    <w:rsid w:val="00CF3F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F1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2E7DCD"/>
    <w:rPr>
      <w:color w:val="0000FF" w:themeColor="hyperlink"/>
      <w:u w:val="single"/>
    </w:rPr>
  </w:style>
  <w:style w:type="paragraph" w:customStyle="1" w:styleId="Default">
    <w:name w:val="Default"/>
    <w:rsid w:val="00D32E9C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13574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30B81"/>
    <w:rPr>
      <w:lang w:eastAsia="en-US"/>
    </w:rPr>
  </w:style>
  <w:style w:type="paragraph" w:styleId="NoSpacing">
    <w:name w:val="No Spacing"/>
    <w:uiPriority w:val="1"/>
    <w:qFormat/>
    <w:rsid w:val="00DE27F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BAB10-7097-4343-976F-1CACB0B8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FAQs</vt:lpstr>
    </vt:vector>
  </TitlesOfParts>
  <Company>DEET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FAQs</dc:title>
  <dc:creator>julie.wells</dc:creator>
  <cp:lastModifiedBy>Janine Matheson1</cp:lastModifiedBy>
  <cp:revision>7</cp:revision>
  <cp:lastPrinted>2012-05-04T01:33:00Z</cp:lastPrinted>
  <dcterms:created xsi:type="dcterms:W3CDTF">2013-01-02T05:53:00Z</dcterms:created>
  <dcterms:modified xsi:type="dcterms:W3CDTF">2013-02-04T23:26:00Z</dcterms:modified>
</cp:coreProperties>
</file>